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9AC" w:rsidRPr="00894DF6" w:rsidRDefault="00894DF6" w:rsidP="00894DF6">
      <w:pPr>
        <w:jc w:val="center"/>
        <w:rPr>
          <w:b/>
          <w:bCs/>
          <w:sz w:val="28"/>
          <w:szCs w:val="26"/>
          <w:lang w:val="en-PH"/>
        </w:rPr>
      </w:pPr>
      <w:r w:rsidRPr="00894DF6">
        <w:rPr>
          <w:b/>
          <w:bCs/>
          <w:sz w:val="28"/>
          <w:szCs w:val="26"/>
          <w:lang w:val="en-PH"/>
        </w:rPr>
        <w:t>Annex 4</w:t>
      </w:r>
    </w:p>
    <w:p w:rsidR="00894DF6" w:rsidRPr="00894DF6" w:rsidRDefault="00894DF6" w:rsidP="00894DF6">
      <w:pPr>
        <w:jc w:val="center"/>
        <w:rPr>
          <w:b/>
          <w:bCs/>
          <w:sz w:val="28"/>
          <w:szCs w:val="26"/>
          <w:lang w:val="en-PH"/>
        </w:rPr>
      </w:pPr>
      <w:r>
        <w:rPr>
          <w:b/>
          <w:bCs/>
          <w:sz w:val="28"/>
          <w:szCs w:val="26"/>
          <w:lang w:val="en-PH"/>
        </w:rPr>
        <w:t xml:space="preserve">References </w:t>
      </w:r>
    </w:p>
    <w:p w:rsidR="00894DF6" w:rsidRDefault="00894DF6">
      <w:pPr>
        <w:rPr>
          <w:lang w:val="en-PH"/>
        </w:rPr>
      </w:pPr>
    </w:p>
    <w:p w:rsidR="00894DF6" w:rsidRDefault="00894DF6">
      <w:pPr>
        <w:rPr>
          <w:lang w:val="en-PH"/>
        </w:rPr>
      </w:pPr>
    </w:p>
    <w:p w:rsidR="00894DF6" w:rsidRDefault="00894DF6" w:rsidP="00894DF6">
      <w:pPr>
        <w:ind w:left="720" w:hanging="720"/>
        <w:jc w:val="both"/>
        <w:rPr>
          <w:lang w:val="en-PH"/>
        </w:rPr>
      </w:pPr>
      <w:r>
        <w:rPr>
          <w:lang w:val="en-PH"/>
        </w:rPr>
        <w:t>Cochran, William G. (1977), Sampling Techniques (3</w:t>
      </w:r>
      <w:r w:rsidRPr="00894DF6">
        <w:rPr>
          <w:vertAlign w:val="superscript"/>
          <w:lang w:val="en-PH"/>
        </w:rPr>
        <w:t>rd</w:t>
      </w:r>
      <w:r>
        <w:rPr>
          <w:lang w:val="en-PH"/>
        </w:rPr>
        <w:t xml:space="preserve"> edition)</w:t>
      </w:r>
      <w:r w:rsidR="00D31474">
        <w:rPr>
          <w:rStyle w:val="FootnoteReference"/>
          <w:lang w:val="en-PH"/>
        </w:rPr>
        <w:footnoteReference w:id="1"/>
      </w:r>
    </w:p>
    <w:p w:rsidR="00894DF6" w:rsidRDefault="00894DF6" w:rsidP="00894DF6">
      <w:pPr>
        <w:ind w:left="720" w:hanging="720"/>
        <w:jc w:val="both"/>
        <w:rPr>
          <w:lang w:val="en-PH"/>
        </w:rPr>
      </w:pPr>
      <w:r>
        <w:rPr>
          <w:lang w:val="en-PH"/>
        </w:rPr>
        <w:t xml:space="preserve">Food and Agriculture Organization of UN (2010), World Programme for the Census of Agriculture 2010, Volume 1, </w:t>
      </w:r>
      <w:proofErr w:type="gramStart"/>
      <w:r>
        <w:rPr>
          <w:lang w:val="en-PH"/>
        </w:rPr>
        <w:t>A</w:t>
      </w:r>
      <w:proofErr w:type="gramEnd"/>
      <w:r>
        <w:rPr>
          <w:lang w:val="en-PH"/>
        </w:rPr>
        <w:t xml:space="preserve"> System of Agriculture Censuses and Surveys</w:t>
      </w:r>
      <w:r w:rsidR="008A09AC">
        <w:rPr>
          <w:rStyle w:val="FootnoteReference"/>
          <w:lang w:val="en-PH"/>
        </w:rPr>
        <w:footnoteReference w:id="2"/>
      </w:r>
    </w:p>
    <w:p w:rsidR="00894DF6" w:rsidRDefault="00894DF6" w:rsidP="00894DF6">
      <w:pPr>
        <w:ind w:left="720" w:hanging="720"/>
        <w:jc w:val="both"/>
        <w:rPr>
          <w:lang w:val="en-PH"/>
        </w:rPr>
      </w:pPr>
      <w:r>
        <w:rPr>
          <w:lang w:val="en-PH"/>
        </w:rPr>
        <w:t>National Statistics Office Philippines (2002), Census of Agriculture Enumerator’s Manual</w:t>
      </w:r>
      <w:r w:rsidR="00D45ECA">
        <w:rPr>
          <w:rStyle w:val="FootnoteReference"/>
          <w:lang w:val="en-PH"/>
        </w:rPr>
        <w:footnoteReference w:id="3"/>
      </w:r>
    </w:p>
    <w:p w:rsidR="00894DF6" w:rsidRDefault="00894DF6" w:rsidP="00894DF6">
      <w:pPr>
        <w:ind w:left="720" w:hanging="720"/>
        <w:rPr>
          <w:lang w:val="en-PH"/>
        </w:rPr>
      </w:pPr>
    </w:p>
    <w:p w:rsidR="00894DF6" w:rsidRPr="00894DF6" w:rsidRDefault="00894DF6">
      <w:pPr>
        <w:rPr>
          <w:lang w:val="en-PH"/>
        </w:rPr>
      </w:pPr>
    </w:p>
    <w:sectPr w:rsidR="00894DF6" w:rsidRPr="00894DF6" w:rsidSect="004F4150">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720" w:gutter="0"/>
      <w:pgNumType w:start="9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B8F" w:rsidRDefault="006F2B8F" w:rsidP="00894DF6">
      <w:r>
        <w:separator/>
      </w:r>
    </w:p>
  </w:endnote>
  <w:endnote w:type="continuationSeparator" w:id="0">
    <w:p w:rsidR="006F2B8F" w:rsidRDefault="006F2B8F" w:rsidP="00894DF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A00000EF" w:usb1="5000204A" w:usb2="00010000" w:usb3="00000000" w:csb0="0000011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9AC" w:rsidRDefault="008A09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97"/>
      <w:docPartObj>
        <w:docPartGallery w:val="Page Numbers (Bottom of Page)"/>
        <w:docPartUnique/>
      </w:docPartObj>
    </w:sdtPr>
    <w:sdtContent>
      <w:p w:rsidR="008A09AC" w:rsidRDefault="008A09AC">
        <w:pPr>
          <w:pStyle w:val="Footer"/>
        </w:pPr>
        <w:fldSimple w:instr=" PAGE   \* MERGEFORMAT ">
          <w:r w:rsidR="00D31474">
            <w:rPr>
              <w:noProof/>
            </w:rPr>
            <w:t>94</w:t>
          </w:r>
        </w:fldSimple>
      </w:p>
    </w:sdtContent>
  </w:sdt>
  <w:p w:rsidR="008A09AC" w:rsidRDefault="008A09A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9AC" w:rsidRDefault="008A09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B8F" w:rsidRDefault="006F2B8F" w:rsidP="00894DF6">
      <w:r>
        <w:separator/>
      </w:r>
    </w:p>
  </w:footnote>
  <w:footnote w:type="continuationSeparator" w:id="0">
    <w:p w:rsidR="006F2B8F" w:rsidRDefault="006F2B8F" w:rsidP="00894DF6">
      <w:r>
        <w:continuationSeparator/>
      </w:r>
    </w:p>
  </w:footnote>
  <w:footnote w:id="1">
    <w:p w:rsidR="00D31474" w:rsidRPr="00D31474" w:rsidRDefault="00D31474">
      <w:pPr>
        <w:pStyle w:val="FootnoteText"/>
        <w:rPr>
          <w:lang w:val="en-PH"/>
        </w:rPr>
      </w:pPr>
      <w:r>
        <w:rPr>
          <w:rStyle w:val="FootnoteReference"/>
        </w:rPr>
        <w:footnoteRef/>
      </w:r>
      <w:r>
        <w:t xml:space="preserve"> </w:t>
      </w:r>
      <w:r w:rsidRPr="00D31474">
        <w:rPr>
          <w:sz w:val="18"/>
          <w:szCs w:val="18"/>
          <w:lang w:val="en-PH"/>
        </w:rPr>
        <w:t>Thi</w:t>
      </w:r>
      <w:r>
        <w:rPr>
          <w:sz w:val="18"/>
          <w:szCs w:val="18"/>
          <w:lang w:val="en-PH"/>
        </w:rPr>
        <w:t>s book was used as reference in choosing the sampling design and procedures.</w:t>
      </w:r>
    </w:p>
  </w:footnote>
  <w:footnote w:id="2">
    <w:p w:rsidR="008A09AC" w:rsidRPr="008A09AC" w:rsidRDefault="008A09AC" w:rsidP="008A09AC">
      <w:pPr>
        <w:pStyle w:val="FootnoteText"/>
        <w:jc w:val="both"/>
        <w:rPr>
          <w:sz w:val="18"/>
          <w:szCs w:val="18"/>
          <w:lang w:val="en-PH"/>
        </w:rPr>
      </w:pPr>
      <w:r w:rsidRPr="00D31474">
        <w:rPr>
          <w:rStyle w:val="FootnoteReference"/>
        </w:rPr>
        <w:footnoteRef/>
      </w:r>
      <w:r w:rsidRPr="008A09AC">
        <w:rPr>
          <w:sz w:val="18"/>
          <w:szCs w:val="18"/>
        </w:rPr>
        <w:t xml:space="preserve"> </w:t>
      </w:r>
      <w:r w:rsidRPr="008A09AC">
        <w:rPr>
          <w:sz w:val="18"/>
          <w:szCs w:val="18"/>
          <w:lang w:val="en-PH"/>
        </w:rPr>
        <w:t>The da</w:t>
      </w:r>
      <w:r>
        <w:rPr>
          <w:sz w:val="18"/>
          <w:szCs w:val="18"/>
          <w:lang w:val="en-PH"/>
        </w:rPr>
        <w:t>ta items recommended for the core module and supplementary modules (in addition to the data users’ data needs) were followed in developing and finalizing the census questionnaires. The definitions of the terms and concepts in relation to these data items were based on the explanations given in the WCA 2010 and considering also the agricultural situation in Cambodia.</w:t>
      </w:r>
    </w:p>
  </w:footnote>
  <w:footnote w:id="3">
    <w:p w:rsidR="008A09AC" w:rsidRPr="00D45ECA" w:rsidRDefault="008A09AC" w:rsidP="00D45ECA">
      <w:pPr>
        <w:pStyle w:val="FootnoteText"/>
        <w:jc w:val="both"/>
        <w:rPr>
          <w:lang w:val="en-PH"/>
        </w:rPr>
      </w:pPr>
      <w:r w:rsidRPr="00D31474">
        <w:rPr>
          <w:rStyle w:val="FootnoteReference"/>
        </w:rPr>
        <w:footnoteRef/>
      </w:r>
      <w:r w:rsidRPr="008A09AC">
        <w:rPr>
          <w:sz w:val="18"/>
          <w:szCs w:val="18"/>
        </w:rPr>
        <w:t xml:space="preserve"> </w:t>
      </w:r>
      <w:r w:rsidRPr="008A09AC">
        <w:rPr>
          <w:sz w:val="18"/>
          <w:szCs w:val="18"/>
          <w:lang w:val="en-PH"/>
        </w:rPr>
        <w:t>The procedures set in the Enumerator’s Manual of Philippine National Statistics Office (PNSO) 2002 Census of Agriculture regarding mapping and canvassing will be used in the first National Census of Agriculture in Cambodia (NCAC) in 2013 to update the boundaries and landmarks of the village/enumeration area maps as well as to plot the exact location of the households to be listed in Form A in these maps. Such procedures used by NSO are so effective that the sample households in any of its surveys can be located. Hence, since the NCAC 2013 will be used as sampling frame for the future agricultural surveys of MAFF, the listing and core module frame to be produced from such census should also have good enumeration area maps in which the sample households can easily be located. The PNSO procedures will be applied according to the real situation of the rural areas in Cambodia.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9AC" w:rsidRDefault="008A09A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9AC" w:rsidRDefault="008A09AC">
    <w:pPr>
      <w:pStyle w:val="Header"/>
    </w:pPr>
  </w:p>
  <w:p w:rsidR="008A09AC" w:rsidRDefault="008A09A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9AC" w:rsidRDefault="008A09A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94DF6"/>
    <w:rsid w:val="00145EC1"/>
    <w:rsid w:val="00150132"/>
    <w:rsid w:val="00243180"/>
    <w:rsid w:val="00283A18"/>
    <w:rsid w:val="003F14BE"/>
    <w:rsid w:val="004F4150"/>
    <w:rsid w:val="00647E91"/>
    <w:rsid w:val="006F2B8F"/>
    <w:rsid w:val="00791511"/>
    <w:rsid w:val="00812BCA"/>
    <w:rsid w:val="00826199"/>
    <w:rsid w:val="00894DF6"/>
    <w:rsid w:val="008A09AC"/>
    <w:rsid w:val="008F6CA4"/>
    <w:rsid w:val="009E3F61"/>
    <w:rsid w:val="00A92189"/>
    <w:rsid w:val="00D31474"/>
    <w:rsid w:val="00D45ECA"/>
    <w:rsid w:val="00D533EE"/>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4DF6"/>
    <w:pPr>
      <w:tabs>
        <w:tab w:val="center" w:pos="4680"/>
        <w:tab w:val="right" w:pos="9360"/>
      </w:tabs>
    </w:pPr>
  </w:style>
  <w:style w:type="character" w:customStyle="1" w:styleId="HeaderChar">
    <w:name w:val="Header Char"/>
    <w:basedOn w:val="DefaultParagraphFont"/>
    <w:link w:val="Header"/>
    <w:uiPriority w:val="99"/>
    <w:rsid w:val="00894DF6"/>
  </w:style>
  <w:style w:type="paragraph" w:styleId="Footer">
    <w:name w:val="footer"/>
    <w:basedOn w:val="Normal"/>
    <w:link w:val="FooterChar"/>
    <w:uiPriority w:val="99"/>
    <w:unhideWhenUsed/>
    <w:rsid w:val="00894DF6"/>
    <w:pPr>
      <w:tabs>
        <w:tab w:val="center" w:pos="4680"/>
        <w:tab w:val="right" w:pos="9360"/>
      </w:tabs>
    </w:pPr>
  </w:style>
  <w:style w:type="character" w:customStyle="1" w:styleId="FooterChar">
    <w:name w:val="Footer Char"/>
    <w:basedOn w:val="DefaultParagraphFont"/>
    <w:link w:val="Footer"/>
    <w:uiPriority w:val="99"/>
    <w:rsid w:val="00894DF6"/>
  </w:style>
  <w:style w:type="paragraph" w:styleId="BalloonText">
    <w:name w:val="Balloon Text"/>
    <w:basedOn w:val="Normal"/>
    <w:link w:val="BalloonTextChar"/>
    <w:uiPriority w:val="99"/>
    <w:semiHidden/>
    <w:unhideWhenUsed/>
    <w:rsid w:val="00894DF6"/>
    <w:rPr>
      <w:rFonts w:ascii="Tahoma" w:hAnsi="Tahoma" w:cs="Tahoma"/>
      <w:sz w:val="16"/>
      <w:szCs w:val="16"/>
    </w:rPr>
  </w:style>
  <w:style w:type="character" w:customStyle="1" w:styleId="BalloonTextChar">
    <w:name w:val="Balloon Text Char"/>
    <w:basedOn w:val="DefaultParagraphFont"/>
    <w:link w:val="BalloonText"/>
    <w:uiPriority w:val="99"/>
    <w:semiHidden/>
    <w:rsid w:val="00894DF6"/>
    <w:rPr>
      <w:rFonts w:ascii="Tahoma" w:hAnsi="Tahoma" w:cs="Tahoma"/>
      <w:sz w:val="16"/>
      <w:szCs w:val="16"/>
    </w:rPr>
  </w:style>
  <w:style w:type="paragraph" w:styleId="FootnoteText">
    <w:name w:val="footnote text"/>
    <w:basedOn w:val="Normal"/>
    <w:link w:val="FootnoteTextChar"/>
    <w:uiPriority w:val="99"/>
    <w:semiHidden/>
    <w:unhideWhenUsed/>
    <w:rsid w:val="00D45ECA"/>
    <w:rPr>
      <w:sz w:val="20"/>
      <w:szCs w:val="20"/>
    </w:rPr>
  </w:style>
  <w:style w:type="character" w:customStyle="1" w:styleId="FootnoteTextChar">
    <w:name w:val="Footnote Text Char"/>
    <w:basedOn w:val="DefaultParagraphFont"/>
    <w:link w:val="FootnoteText"/>
    <w:uiPriority w:val="99"/>
    <w:semiHidden/>
    <w:rsid w:val="00D45ECA"/>
    <w:rPr>
      <w:sz w:val="20"/>
      <w:szCs w:val="20"/>
    </w:rPr>
  </w:style>
  <w:style w:type="character" w:styleId="FootnoteReference">
    <w:name w:val="footnote reference"/>
    <w:basedOn w:val="DefaultParagraphFont"/>
    <w:uiPriority w:val="99"/>
    <w:semiHidden/>
    <w:unhideWhenUsed/>
    <w:rsid w:val="00D45EC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3780D-6135-4F2D-BC7A-1982A948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49</Words>
  <Characters>284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2</cp:revision>
  <dcterms:created xsi:type="dcterms:W3CDTF">2012-12-19T16:59:00Z</dcterms:created>
  <dcterms:modified xsi:type="dcterms:W3CDTF">2012-12-20T02:44:00Z</dcterms:modified>
</cp:coreProperties>
</file>